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99AF2" w14:textId="77777777" w:rsidR="006A2FCC" w:rsidRPr="000B076E" w:rsidRDefault="006A2FCC" w:rsidP="006A2FCC">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0B076E">
        <w:rPr>
          <w:rFonts w:asciiTheme="majorHAnsi" w:eastAsiaTheme="majorEastAsia" w:hAnsiTheme="majorHAnsi" w:cstheme="majorBidi"/>
          <w:color w:val="0F4761" w:themeColor="accent1" w:themeShade="BF"/>
          <w:sz w:val="40"/>
          <w:szCs w:val="40"/>
          <w:lang w:val="en-GB"/>
        </w:rPr>
        <w:t>Step overview</w:t>
      </w:r>
    </w:p>
    <w:p w14:paraId="5DF9E1F8" w14:textId="77777777" w:rsidR="006A2FCC" w:rsidRPr="0022012C" w:rsidRDefault="006A2FCC" w:rsidP="006A2FCC">
      <w:pPr>
        <w:spacing w:after="0" w:line="240" w:lineRule="auto"/>
        <w:rPr>
          <w:lang w:val="en-GB"/>
        </w:rPr>
      </w:pPr>
    </w:p>
    <w:tbl>
      <w:tblPr>
        <w:tblStyle w:val="GridTable1Light"/>
        <w:tblW w:w="8926" w:type="dxa"/>
        <w:tblLook w:val="0400" w:firstRow="0" w:lastRow="0" w:firstColumn="0" w:lastColumn="0" w:noHBand="0" w:noVBand="1"/>
      </w:tblPr>
      <w:tblGrid>
        <w:gridCol w:w="2122"/>
        <w:gridCol w:w="6804"/>
      </w:tblGrid>
      <w:tr w:rsidR="006A2FCC" w:rsidRPr="0022012C" w14:paraId="314DE67B" w14:textId="77777777" w:rsidTr="009C6824">
        <w:trPr>
          <w:trHeight w:val="399"/>
        </w:trPr>
        <w:tc>
          <w:tcPr>
            <w:tcW w:w="2122" w:type="dxa"/>
            <w:shd w:val="clear" w:color="auto" w:fill="0E2841" w:themeFill="text2"/>
          </w:tcPr>
          <w:p w14:paraId="565EDFCD"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0BCAD38"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FF23C8">
              <w:rPr>
                <w:rFonts w:ascii="Aptos" w:eastAsia="Times New Roman" w:hAnsi="Aptos" w:cs="Times New Roman"/>
                <w:color w:val="000000"/>
                <w:kern w:val="0"/>
                <w:sz w:val="20"/>
                <w:szCs w:val="20"/>
                <w:lang w:val="en-GB" w:eastAsia="en-GB"/>
                <w14:ligatures w14:val="none"/>
              </w:rPr>
              <w:t>7.2. Digitalisation</w:t>
            </w:r>
          </w:p>
        </w:tc>
      </w:tr>
      <w:tr w:rsidR="006A2FCC" w:rsidRPr="0022012C" w14:paraId="5D664F38" w14:textId="77777777" w:rsidTr="009C6824">
        <w:trPr>
          <w:trHeight w:val="393"/>
        </w:trPr>
        <w:tc>
          <w:tcPr>
            <w:tcW w:w="2122" w:type="dxa"/>
            <w:shd w:val="clear" w:color="auto" w:fill="0E2841" w:themeFill="text2"/>
          </w:tcPr>
          <w:p w14:paraId="148FCBD0"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6B8A96D8" w14:textId="77777777" w:rsidR="006A2FCC" w:rsidRPr="00105938"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105938">
              <w:rPr>
                <w:rFonts w:ascii="Aptos" w:eastAsia="Times New Roman" w:hAnsi="Aptos" w:cs="Times New Roman"/>
                <w:color w:val="000000"/>
                <w:kern w:val="0"/>
                <w:sz w:val="20"/>
                <w:szCs w:val="20"/>
                <w:lang w:val="en-GB" w:eastAsia="en-GB"/>
                <w14:ligatures w14:val="none"/>
              </w:rPr>
              <w:t xml:space="preserve">7.2.4. </w:t>
            </w:r>
            <w:proofErr w:type="gramStart"/>
            <w:r w:rsidRPr="00105938">
              <w:rPr>
                <w:rFonts w:ascii="Aptos" w:eastAsia="Times New Roman" w:hAnsi="Aptos" w:cs="Times New Roman"/>
                <w:color w:val="000000"/>
                <w:kern w:val="0"/>
                <w:sz w:val="20"/>
                <w:szCs w:val="20"/>
                <w:lang w:val="en-GB" w:eastAsia="en-GB"/>
                <w14:ligatures w14:val="none"/>
              </w:rPr>
              <w:t>Setting-up</w:t>
            </w:r>
            <w:proofErr w:type="gramEnd"/>
            <w:r w:rsidRPr="00105938">
              <w:rPr>
                <w:rFonts w:ascii="Aptos" w:eastAsia="Times New Roman" w:hAnsi="Aptos" w:cs="Times New Roman"/>
                <w:color w:val="000000"/>
                <w:kern w:val="0"/>
                <w:sz w:val="20"/>
                <w:szCs w:val="20"/>
                <w:lang w:val="en-GB" w:eastAsia="en-GB"/>
                <w14:ligatures w14:val="none"/>
              </w:rPr>
              <w:t xml:space="preserve"> a comprehensive framework for cyber resilience and artificial intelligence</w:t>
            </w:r>
          </w:p>
          <w:p w14:paraId="3EC9C3B8"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105938">
              <w:rPr>
                <w:rFonts w:ascii="Aptos" w:eastAsia="Times New Roman" w:hAnsi="Aptos" w:cs="Times New Roman"/>
                <w:color w:val="000000"/>
                <w:kern w:val="0"/>
                <w:sz w:val="20"/>
                <w:szCs w:val="20"/>
                <w:lang w:val="en-GB" w:eastAsia="en-GB"/>
                <w14:ligatures w14:val="none"/>
              </w:rPr>
              <w:t>Part 1: Improving the legal framework for cybersecurity (introducing requirements of NIS2 Directive and strengthening relevant institutions)</w:t>
            </w:r>
          </w:p>
        </w:tc>
      </w:tr>
      <w:tr w:rsidR="006A2FCC" w:rsidRPr="0022012C" w14:paraId="382E8865" w14:textId="77777777" w:rsidTr="009C6824">
        <w:trPr>
          <w:trHeight w:val="393"/>
        </w:trPr>
        <w:tc>
          <w:tcPr>
            <w:tcW w:w="2122" w:type="dxa"/>
            <w:shd w:val="clear" w:color="auto" w:fill="0E2841" w:themeFill="text2"/>
          </w:tcPr>
          <w:p w14:paraId="38FA0E55"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6C049770" w14:textId="77777777" w:rsidR="006A2FCC" w:rsidRPr="00EA397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EA397C">
              <w:rPr>
                <w:rFonts w:ascii="Aptos" w:eastAsia="Times New Roman" w:hAnsi="Aptos" w:cs="Times New Roman"/>
                <w:color w:val="000000"/>
                <w:kern w:val="0"/>
                <w:sz w:val="20"/>
                <w:szCs w:val="20"/>
                <w:lang w:val="en-GB" w:eastAsia="en-GB"/>
                <w14:ligatures w14:val="none"/>
              </w:rPr>
              <w:t>Extent to which a comprehensive framework for cyber resilience in line with</w:t>
            </w:r>
          </w:p>
          <w:p w14:paraId="0732853F"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EA397C">
              <w:rPr>
                <w:rFonts w:ascii="Aptos" w:eastAsia="Times New Roman" w:hAnsi="Aptos" w:cs="Times New Roman"/>
                <w:color w:val="000000"/>
                <w:kern w:val="0"/>
                <w:sz w:val="20"/>
                <w:szCs w:val="20"/>
                <w:lang w:val="en-GB" w:eastAsia="en-GB"/>
                <w14:ligatures w14:val="none"/>
              </w:rPr>
              <w:t xml:space="preserve">requirements of NIS2 Directive </w:t>
            </w:r>
            <w:proofErr w:type="gramStart"/>
            <w:r w:rsidRPr="00EA397C">
              <w:rPr>
                <w:rFonts w:ascii="Aptos" w:eastAsia="Times New Roman" w:hAnsi="Aptos" w:cs="Times New Roman"/>
                <w:color w:val="000000"/>
                <w:kern w:val="0"/>
                <w:sz w:val="20"/>
                <w:szCs w:val="20"/>
                <w:lang w:val="en-GB" w:eastAsia="en-GB"/>
                <w14:ligatures w14:val="none"/>
              </w:rPr>
              <w:t>is</w:t>
            </w:r>
            <w:proofErr w:type="gramEnd"/>
            <w:r w:rsidRPr="00EA397C">
              <w:rPr>
                <w:rFonts w:ascii="Aptos" w:eastAsia="Times New Roman" w:hAnsi="Aptos" w:cs="Times New Roman"/>
                <w:color w:val="000000"/>
                <w:kern w:val="0"/>
                <w:sz w:val="20"/>
                <w:szCs w:val="20"/>
                <w:lang w:val="en-GB" w:eastAsia="en-GB"/>
                <w14:ligatures w14:val="none"/>
              </w:rPr>
              <w:t xml:space="preserve"> set up and operational</w:t>
            </w:r>
          </w:p>
        </w:tc>
      </w:tr>
      <w:tr w:rsidR="006A2FCC" w:rsidRPr="0022012C" w14:paraId="1824C1FF" w14:textId="77777777" w:rsidTr="009C6824">
        <w:trPr>
          <w:trHeight w:val="759"/>
        </w:trPr>
        <w:tc>
          <w:tcPr>
            <w:tcW w:w="2122" w:type="dxa"/>
            <w:shd w:val="clear" w:color="auto" w:fill="0E2841" w:themeFill="text2"/>
          </w:tcPr>
          <w:p w14:paraId="6C33619B"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 Step</w:t>
            </w:r>
          </w:p>
        </w:tc>
        <w:tc>
          <w:tcPr>
            <w:tcW w:w="6804" w:type="dxa"/>
          </w:tcPr>
          <w:p w14:paraId="0A346C20"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A34BD6">
              <w:rPr>
                <w:rFonts w:ascii="Aptos" w:eastAsia="Times New Roman" w:hAnsi="Aptos" w:cs="Times New Roman"/>
                <w:color w:val="000000"/>
                <w:kern w:val="0"/>
                <w:sz w:val="20"/>
                <w:szCs w:val="20"/>
                <w:lang w:val="en-GB" w:eastAsia="en-GB"/>
                <w14:ligatures w14:val="none"/>
              </w:rPr>
              <w:t xml:space="preserve">4. List of entities in the scope of the national law corresponding to the NIS2 Directive is finalized and Frameworks introduced by NIS2 alignment (CVD framework, crisis management framework), are in place and use </w:t>
            </w:r>
          </w:p>
        </w:tc>
      </w:tr>
      <w:tr w:rsidR="006A2FCC" w:rsidRPr="0022012C" w14:paraId="1EEC05C4" w14:textId="77777777" w:rsidTr="009C6824">
        <w:trPr>
          <w:trHeight w:val="559"/>
        </w:trPr>
        <w:tc>
          <w:tcPr>
            <w:tcW w:w="2122" w:type="dxa"/>
            <w:shd w:val="clear" w:color="auto" w:fill="0E2841" w:themeFill="text2"/>
          </w:tcPr>
          <w:p w14:paraId="55331A38" w14:textId="77777777" w:rsidR="006A2FCC" w:rsidRPr="0022012C" w:rsidRDefault="006A2FCC"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Step deadline</w:t>
            </w:r>
          </w:p>
        </w:tc>
        <w:tc>
          <w:tcPr>
            <w:tcW w:w="6804" w:type="dxa"/>
          </w:tcPr>
          <w:p w14:paraId="2481B43B"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22012C">
              <w:rPr>
                <w:rFonts w:ascii="Aptos" w:eastAsia="Times New Roman" w:hAnsi="Aptos" w:cs="Times New Roman"/>
                <w:color w:val="000000"/>
                <w:kern w:val="0"/>
                <w:sz w:val="20"/>
                <w:szCs w:val="20"/>
                <w:lang w:val="en-GB" w:eastAsia="en-GB"/>
                <w14:ligatures w14:val="none"/>
              </w:rPr>
              <w:t>December 2025</w:t>
            </w:r>
          </w:p>
        </w:tc>
      </w:tr>
      <w:tr w:rsidR="006A2FCC" w:rsidRPr="0022012C" w14:paraId="07657C00" w14:textId="77777777" w:rsidTr="009C6824">
        <w:trPr>
          <w:trHeight w:val="553"/>
        </w:trPr>
        <w:tc>
          <w:tcPr>
            <w:tcW w:w="2122" w:type="dxa"/>
            <w:shd w:val="clear" w:color="auto" w:fill="0E2841" w:themeFill="text2"/>
          </w:tcPr>
          <w:p w14:paraId="5FA5EADF"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Step value in EUR</w:t>
            </w:r>
          </w:p>
        </w:tc>
        <w:tc>
          <w:tcPr>
            <w:tcW w:w="6804" w:type="dxa"/>
          </w:tcPr>
          <w:p w14:paraId="7B304F77"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6F6AA4">
              <w:rPr>
                <w:rFonts w:ascii="Aptos" w:eastAsia="Times New Roman" w:hAnsi="Aptos" w:cs="Times New Roman"/>
                <w:color w:val="000000"/>
                <w:kern w:val="0"/>
                <w:sz w:val="20"/>
                <w:szCs w:val="20"/>
                <w:lang w:val="en-GB" w:eastAsia="en-GB"/>
                <w14:ligatures w14:val="none"/>
              </w:rPr>
              <w:t>3.396.905,84</w:t>
            </w:r>
          </w:p>
        </w:tc>
      </w:tr>
      <w:tr w:rsidR="006A2FCC" w:rsidRPr="0022012C" w14:paraId="40070600" w14:textId="77777777" w:rsidTr="009C6824">
        <w:trPr>
          <w:trHeight w:val="535"/>
        </w:trPr>
        <w:tc>
          <w:tcPr>
            <w:tcW w:w="2122" w:type="dxa"/>
            <w:shd w:val="clear" w:color="auto" w:fill="0E2841" w:themeFill="text2"/>
          </w:tcPr>
          <w:p w14:paraId="5B52B18A" w14:textId="77777777" w:rsidR="006A2FCC" w:rsidRPr="0022012C" w:rsidRDefault="006A2FCC"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Responsible</w:t>
            </w:r>
          </w:p>
        </w:tc>
        <w:tc>
          <w:tcPr>
            <w:tcW w:w="6804" w:type="dxa"/>
          </w:tcPr>
          <w:p w14:paraId="0E71D50D"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8A190E">
              <w:rPr>
                <w:rFonts w:ascii="Aptos" w:eastAsia="Times New Roman" w:hAnsi="Aptos" w:cs="Times New Roman"/>
                <w:color w:val="000000"/>
                <w:kern w:val="0"/>
                <w:sz w:val="20"/>
                <w:szCs w:val="20"/>
                <w:lang w:val="en-GB" w:eastAsia="en-GB"/>
                <w14:ligatures w14:val="none"/>
              </w:rPr>
              <w:t>Ministry of Information and Telecommunications</w:t>
            </w:r>
          </w:p>
        </w:tc>
      </w:tr>
      <w:tr w:rsidR="006A2FCC" w:rsidRPr="0022012C" w14:paraId="3234345A" w14:textId="77777777" w:rsidTr="009C6824">
        <w:trPr>
          <w:trHeight w:val="583"/>
        </w:trPr>
        <w:tc>
          <w:tcPr>
            <w:tcW w:w="2122" w:type="dxa"/>
            <w:shd w:val="clear" w:color="auto" w:fill="0E2841" w:themeFill="text2"/>
          </w:tcPr>
          <w:p w14:paraId="687E0344" w14:textId="77777777" w:rsidR="006A2FCC" w:rsidRPr="0022012C" w:rsidRDefault="006A2FCC"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Baseline</w:t>
            </w:r>
          </w:p>
        </w:tc>
        <w:tc>
          <w:tcPr>
            <w:tcW w:w="6804" w:type="dxa"/>
          </w:tcPr>
          <w:p w14:paraId="45503CAB"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072CFA">
              <w:rPr>
                <w:rFonts w:ascii="Aptos" w:eastAsia="Times New Roman" w:hAnsi="Aptos" w:cs="Times New Roman"/>
                <w:color w:val="000000"/>
                <w:kern w:val="0"/>
                <w:sz w:val="20"/>
                <w:szCs w:val="20"/>
                <w:lang w:val="en-GB" w:eastAsia="en-GB"/>
                <w14:ligatures w14:val="none"/>
              </w:rPr>
              <w:t xml:space="preserve">List of entities in scope of the national law corresponding to the NIS2 Directive is NOT prepared and Frameworks NOT introduced by NIS2 alignment (CVD framework, crisis management </w:t>
            </w:r>
          </w:p>
        </w:tc>
      </w:tr>
      <w:tr w:rsidR="006A2FCC" w:rsidRPr="0022012C" w14:paraId="5941B2D2" w14:textId="77777777" w:rsidTr="009C6824">
        <w:trPr>
          <w:trHeight w:val="577"/>
        </w:trPr>
        <w:tc>
          <w:tcPr>
            <w:tcW w:w="2122" w:type="dxa"/>
            <w:shd w:val="clear" w:color="auto" w:fill="0E2841" w:themeFill="text2"/>
          </w:tcPr>
          <w:p w14:paraId="17C93E6F" w14:textId="77777777" w:rsidR="006A2FCC" w:rsidRPr="0022012C" w:rsidRDefault="006A2FCC" w:rsidP="009C6824">
            <w:pPr>
              <w:spacing w:before="120" w:after="120"/>
              <w:rPr>
                <w:rFonts w:ascii="Aptos" w:eastAsia="Times New Roman" w:hAnsi="Aptos" w:cs="Times New Roman"/>
                <w:b/>
                <w:bCs/>
                <w:color w:val="000000"/>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Sources of verification</w:t>
            </w:r>
          </w:p>
        </w:tc>
        <w:tc>
          <w:tcPr>
            <w:tcW w:w="6804" w:type="dxa"/>
          </w:tcPr>
          <w:p w14:paraId="1E6CE4B8" w14:textId="77777777" w:rsidR="006A2FCC" w:rsidRPr="009E77F4"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9E77F4">
              <w:rPr>
                <w:rFonts w:ascii="Aptos" w:eastAsia="Times New Roman" w:hAnsi="Aptos" w:cs="Times New Roman"/>
                <w:color w:val="000000"/>
                <w:kern w:val="0"/>
                <w:sz w:val="20"/>
                <w:szCs w:val="20"/>
                <w:lang w:val="en-GB" w:eastAsia="en-GB"/>
                <w14:ligatures w14:val="none"/>
              </w:rPr>
              <w:t>Report of Ministry of Information and</w:t>
            </w:r>
          </w:p>
          <w:p w14:paraId="528F29C1" w14:textId="77777777" w:rsidR="006A2FCC" w:rsidRPr="0022012C" w:rsidRDefault="006A2FCC" w:rsidP="009C6824">
            <w:pPr>
              <w:spacing w:before="120" w:after="120"/>
              <w:rPr>
                <w:rFonts w:ascii="Aptos" w:eastAsia="Times New Roman" w:hAnsi="Aptos" w:cs="Times New Roman"/>
                <w:color w:val="000000"/>
                <w:kern w:val="0"/>
                <w:sz w:val="20"/>
                <w:szCs w:val="20"/>
                <w:lang w:val="en-GB" w:eastAsia="en-GB"/>
                <w14:ligatures w14:val="none"/>
              </w:rPr>
            </w:pPr>
            <w:r w:rsidRPr="009E77F4">
              <w:rPr>
                <w:rFonts w:ascii="Aptos" w:eastAsia="Times New Roman" w:hAnsi="Aptos" w:cs="Times New Roman"/>
                <w:color w:val="000000"/>
                <w:kern w:val="0"/>
                <w:sz w:val="20"/>
                <w:szCs w:val="20"/>
                <w:lang w:val="en-GB" w:eastAsia="en-GB"/>
                <w14:ligatures w14:val="none"/>
              </w:rPr>
              <w:t>Telecommunications</w:t>
            </w:r>
          </w:p>
        </w:tc>
      </w:tr>
    </w:tbl>
    <w:p w14:paraId="4875F6BC" w14:textId="77777777" w:rsidR="006A2FCC" w:rsidRPr="0022012C" w:rsidRDefault="006A2FCC" w:rsidP="006A2FCC">
      <w:pPr>
        <w:spacing w:after="0" w:line="240" w:lineRule="auto"/>
        <w:rPr>
          <w:lang w:val="en-GB"/>
        </w:rPr>
      </w:pPr>
    </w:p>
    <w:p w14:paraId="708758F8" w14:textId="77777777" w:rsidR="006A2FCC" w:rsidRPr="008D2080" w:rsidRDefault="006A2FCC" w:rsidP="006A2FCC">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8D2080">
        <w:rPr>
          <w:rFonts w:asciiTheme="majorHAnsi" w:eastAsiaTheme="majorEastAsia" w:hAnsiTheme="majorHAnsi" w:cstheme="majorBidi"/>
          <w:color w:val="0F4761" w:themeColor="accent1" w:themeShade="BF"/>
          <w:sz w:val="40"/>
          <w:szCs w:val="40"/>
          <w:lang w:val="en-GB"/>
        </w:rPr>
        <w:t>Analysis</w:t>
      </w:r>
    </w:p>
    <w:p w14:paraId="136D17A9" w14:textId="77777777" w:rsidR="006A2FCC" w:rsidRPr="0022012C" w:rsidRDefault="006A2FCC" w:rsidP="006A2FCC">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6A2FCC" w:rsidRPr="0022012C" w14:paraId="21B8CEA5"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5B3161B8"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Define step milestones</w:t>
            </w:r>
          </w:p>
        </w:tc>
        <w:tc>
          <w:tcPr>
            <w:tcW w:w="6753" w:type="dxa"/>
          </w:tcPr>
          <w:p w14:paraId="107EB9F2"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109C29FF">
              <w:rPr>
                <w:i/>
                <w:iCs/>
                <w:sz w:val="20"/>
                <w:szCs w:val="20"/>
                <w:lang w:val="en-GB"/>
              </w:rPr>
              <w:t>take into account</w:t>
            </w:r>
            <w:proofErr w:type="gramEnd"/>
            <w:r w:rsidRPr="109C29FF">
              <w:rPr>
                <w:i/>
                <w:iCs/>
                <w:sz w:val="20"/>
                <w:szCs w:val="20"/>
                <w:lang w:val="en-GB"/>
              </w:rPr>
              <w:t xml:space="preserve"> applicable legal requirements (e.g. Law on the Planning System, Government Rules of Procedure, etc.).</w:t>
            </w:r>
          </w:p>
          <w:p w14:paraId="68B0342E" w14:textId="77777777" w:rsidR="006A2FCC" w:rsidRPr="0022012C" w:rsidRDefault="006A2FCC" w:rsidP="006A2FCC">
            <w:pPr>
              <w:pStyle w:val="ListParagraph"/>
              <w:numPr>
                <w:ilvl w:val="0"/>
                <w:numId w:val="2"/>
              </w:numPr>
              <w:spacing w:after="0" w:line="240" w:lineRule="auto"/>
              <w:cnfStyle w:val="000000000000" w:firstRow="0" w:lastRow="0" w:firstColumn="0" w:lastColumn="0" w:oddVBand="0" w:evenVBand="0" w:oddHBand="0" w:evenHBand="0" w:firstRowFirstColumn="0" w:firstRowLastColumn="0" w:lastRowFirstColumn="0" w:lastRowLastColumn="0"/>
              <w:rPr>
                <w:rFonts w:ascii="Aptos" w:eastAsia="Aptos" w:hAnsi="Aptos" w:cs="Aptos"/>
                <w:sz w:val="20"/>
                <w:szCs w:val="20"/>
                <w:lang w:val="en-GB"/>
              </w:rPr>
            </w:pPr>
            <w:r w:rsidRPr="109C29FF">
              <w:rPr>
                <w:rFonts w:ascii="Aptos" w:eastAsia="Aptos" w:hAnsi="Aptos" w:cs="Aptos"/>
                <w:sz w:val="20"/>
                <w:szCs w:val="20"/>
                <w:lang w:val="en-GB"/>
              </w:rPr>
              <w:t>List of entities finalized</w:t>
            </w:r>
          </w:p>
          <w:p w14:paraId="4ACEBC8D" w14:textId="77777777" w:rsidR="006A2FCC" w:rsidRPr="0022012C" w:rsidRDefault="006A2FCC" w:rsidP="006A2FCC">
            <w:pPr>
              <w:pStyle w:val="ListParagraph"/>
              <w:numPr>
                <w:ilvl w:val="0"/>
                <w:numId w:val="2"/>
              </w:numPr>
              <w:spacing w:after="0" w:line="240" w:lineRule="auto"/>
              <w:cnfStyle w:val="000000000000" w:firstRow="0" w:lastRow="0" w:firstColumn="0" w:lastColumn="0" w:oddVBand="0" w:evenVBand="0" w:oddHBand="0" w:evenHBand="0" w:firstRowFirstColumn="0" w:firstRowLastColumn="0" w:lastRowFirstColumn="0" w:lastRowLastColumn="0"/>
              <w:rPr>
                <w:rFonts w:ascii="Aptos" w:eastAsia="Aptos" w:hAnsi="Aptos" w:cs="Aptos"/>
                <w:sz w:val="20"/>
                <w:szCs w:val="20"/>
                <w:lang w:val="en-GB"/>
              </w:rPr>
            </w:pPr>
            <w:r w:rsidRPr="109C29FF">
              <w:rPr>
                <w:rFonts w:ascii="Aptos" w:eastAsia="Aptos" w:hAnsi="Aptos" w:cs="Aptos"/>
                <w:sz w:val="20"/>
                <w:szCs w:val="20"/>
                <w:lang w:val="en-GB"/>
              </w:rPr>
              <w:lastRenderedPageBreak/>
              <w:t>CVD framework in place and used</w:t>
            </w:r>
          </w:p>
          <w:p w14:paraId="78244004" w14:textId="77777777" w:rsidR="006A2FCC" w:rsidRPr="0022012C" w:rsidRDefault="006A2FCC" w:rsidP="006A2FCC">
            <w:pPr>
              <w:pStyle w:val="ListParagraph"/>
              <w:numPr>
                <w:ilvl w:val="0"/>
                <w:numId w:val="2"/>
              </w:num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ptos" w:eastAsia="Aptos" w:hAnsi="Aptos" w:cs="Aptos"/>
                <w:sz w:val="20"/>
                <w:szCs w:val="20"/>
                <w:lang w:val="en-GB"/>
              </w:rPr>
            </w:pPr>
            <w:r w:rsidRPr="109C29FF">
              <w:rPr>
                <w:rFonts w:ascii="Aptos" w:eastAsia="Aptos" w:hAnsi="Aptos" w:cs="Aptos"/>
                <w:sz w:val="20"/>
                <w:szCs w:val="20"/>
                <w:lang w:val="en-GB"/>
              </w:rPr>
              <w:t>Crisis-management framework in place and used</w:t>
            </w:r>
          </w:p>
        </w:tc>
      </w:tr>
      <w:tr w:rsidR="006A2FCC" w:rsidRPr="0022012C" w14:paraId="6F1672F2"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9DC46B7"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291ABDB"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For each identified milestone, provide a succinct analysis of its implementation process. Use numbered points corresponding to the defined milestones above. Please provide references wherever possible.</w:t>
            </w:r>
          </w:p>
          <w:p w14:paraId="497AAE13" w14:textId="77777777" w:rsidR="006A2FCC" w:rsidRPr="0022012C" w:rsidRDefault="006A2FCC" w:rsidP="006A2FCC">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7D60BEA7">
              <w:rPr>
                <w:sz w:val="20"/>
                <w:szCs w:val="20"/>
              </w:rPr>
              <w:t xml:space="preserve">Under the 2025 Law, </w:t>
            </w:r>
            <w:proofErr w:type="spellStart"/>
            <w:r w:rsidRPr="7D60BEA7">
              <w:rPr>
                <w:sz w:val="20"/>
                <w:szCs w:val="20"/>
              </w:rPr>
              <w:t>finalising</w:t>
            </w:r>
            <w:proofErr w:type="spellEnd"/>
            <w:r w:rsidRPr="7D60BEA7">
              <w:rPr>
                <w:sz w:val="20"/>
                <w:szCs w:val="20"/>
              </w:rPr>
              <w:t xml:space="preserve"> the NIS2-equivalent “scope list” depends on adopting the Government bylaw on general/sectoral criteria for determining priority and important entities and </w:t>
            </w:r>
            <w:proofErr w:type="spellStart"/>
            <w:r w:rsidRPr="7D60BEA7">
              <w:rPr>
                <w:sz w:val="20"/>
                <w:szCs w:val="20"/>
              </w:rPr>
              <w:t>operationalising</w:t>
            </w:r>
            <w:proofErr w:type="spellEnd"/>
            <w:r w:rsidRPr="7D60BEA7">
              <w:rPr>
                <w:sz w:val="20"/>
                <w:szCs w:val="20"/>
              </w:rPr>
              <w:t xml:space="preserve"> the Ministry-led Evidence (registry).  In the Ministry’s </w:t>
            </w:r>
            <w:hyperlink r:id="rId7">
              <w:r w:rsidRPr="7D60BEA7">
                <w:rPr>
                  <w:rStyle w:val="Hyperlink"/>
                  <w:sz w:val="20"/>
                  <w:szCs w:val="20"/>
                </w:rPr>
                <w:t>FOI reply</w:t>
              </w:r>
            </w:hyperlink>
            <w:r w:rsidRPr="7D60BEA7">
              <w:rPr>
                <w:sz w:val="20"/>
                <w:szCs w:val="20"/>
              </w:rPr>
              <w:t xml:space="preserve"> from 6 March 2026, the key criteria bylaw is reported as in the adoption procedure, while other necessary implementing acts (including the Evidence rulebook) are not yet adopted (some only “expected to start”).</w:t>
            </w:r>
          </w:p>
          <w:p w14:paraId="0274ED9E" w14:textId="77777777" w:rsidR="006A2FCC" w:rsidRPr="0022012C" w:rsidRDefault="006A2FCC" w:rsidP="006A2FCC">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 xml:space="preserve">The Law introduces a vulnerability-handling layer by assigning the national CERT function the task of maintaining a vulnerability database and by requiring Government-level implementing rules to operationalise key procedures. According to the same </w:t>
            </w:r>
            <w:hyperlink r:id="rId8">
              <w:r w:rsidRPr="109C29FF">
                <w:rPr>
                  <w:rStyle w:val="Hyperlink"/>
                  <w:sz w:val="20"/>
                  <w:szCs w:val="20"/>
                  <w:lang w:val="en-GB"/>
                </w:rPr>
                <w:t>FOI reply</w:t>
              </w:r>
            </w:hyperlink>
            <w:r w:rsidRPr="109C29FF">
              <w:rPr>
                <w:sz w:val="20"/>
                <w:szCs w:val="20"/>
                <w:lang w:val="en-GB"/>
              </w:rPr>
              <w:t xml:space="preserve"> (6 March 2026), the main bylaw on the content and verification procedure for vulnerabilities is still in drafting, which means the CVD framework cannot yet be considered “in place”; moreover, no publicly evidenced use  is demonstrated through adopted implementing acts.</w:t>
            </w:r>
          </w:p>
          <w:p w14:paraId="5ACC6A4A" w14:textId="77777777" w:rsidR="006A2FCC" w:rsidRPr="0022012C" w:rsidRDefault="006A2FCC" w:rsidP="006A2FCC">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 xml:space="preserve">The Law requires a </w:t>
            </w:r>
            <w:proofErr w:type="gramStart"/>
            <w:r w:rsidRPr="109C29FF">
              <w:rPr>
                <w:sz w:val="20"/>
                <w:szCs w:val="20"/>
                <w:lang w:val="en-GB"/>
              </w:rPr>
              <w:t>Government</w:t>
            </w:r>
            <w:proofErr w:type="gramEnd"/>
            <w:r w:rsidRPr="109C29FF">
              <w:rPr>
                <w:sz w:val="20"/>
                <w:szCs w:val="20"/>
                <w:lang w:val="en-GB"/>
              </w:rPr>
              <w:t xml:space="preserve"> bylaw regulating incident notification procedures, forms, incident lists and severity classification, and a </w:t>
            </w:r>
            <w:proofErr w:type="gramStart"/>
            <w:r w:rsidRPr="109C29FF">
              <w:rPr>
                <w:sz w:val="20"/>
                <w:szCs w:val="20"/>
                <w:lang w:val="en-GB"/>
              </w:rPr>
              <w:t>Government</w:t>
            </w:r>
            <w:proofErr w:type="gramEnd"/>
            <w:r w:rsidRPr="109C29FF">
              <w:rPr>
                <w:sz w:val="20"/>
                <w:szCs w:val="20"/>
                <w:lang w:val="en-GB"/>
              </w:rPr>
              <w:t xml:space="preserve"> crisis response plan for high-level incidents and information-security crises, with an explicit deadline of 18 months from the Law’s entry into force (and a 12-month deadline for other implementing acts). The Ministry’s </w:t>
            </w:r>
            <w:hyperlink r:id="rId9">
              <w:r w:rsidRPr="109C29FF">
                <w:rPr>
                  <w:rStyle w:val="Hyperlink"/>
                  <w:sz w:val="20"/>
                  <w:szCs w:val="20"/>
                  <w:lang w:val="en-GB"/>
                </w:rPr>
                <w:t>FOI reply</w:t>
              </w:r>
            </w:hyperlink>
            <w:r w:rsidRPr="109C29FF">
              <w:rPr>
                <w:sz w:val="20"/>
                <w:szCs w:val="20"/>
                <w:lang w:val="en-GB"/>
              </w:rPr>
              <w:t xml:space="preserve"> (6 March 2026) indicates that the relevant implementing acts are not yet adopted (some only “expected to start”), therefore the crisis-management framework cannot yet be assessed as “in place and in use”.</w:t>
            </w:r>
          </w:p>
        </w:tc>
      </w:tr>
      <w:tr w:rsidR="006A2FCC" w:rsidRPr="0022012C" w14:paraId="6DD71B1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B44AB7E"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Key issues in implementation</w:t>
            </w:r>
          </w:p>
        </w:tc>
        <w:tc>
          <w:tcPr>
            <w:tcW w:w="6753" w:type="dxa"/>
          </w:tcPr>
          <w:p w14:paraId="2473EB19"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0E0EEE42"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pPr>
            <w:r w:rsidRPr="109C29FF">
              <w:rPr>
                <w:rFonts w:ascii="Aptos" w:eastAsia="Aptos" w:hAnsi="Aptos" w:cs="Aptos"/>
                <w:sz w:val="20"/>
                <w:szCs w:val="20"/>
                <w:lang w:val="en-GB"/>
              </w:rPr>
              <w:t xml:space="preserve">Implementation of Reform Step 2.2.4.2 is effectively stalled at the level of deliverables: the “list of entities” cannot be finalised because the core implementing acts required by the Law (Government bylaw on scoping criteria and the Ministry rulebook on the Evidence) have not been adopted; the CVD framework is not “in place and in use” because the Government act regulating the vulnerability database and verification/handling procedures is still pending; and the crisis-management framework is not “in place and in use” because the implementing rules on incident notification/classification and the Government crisis response plan have not been adopted/published. As a result, none of the three Reform Step outcomes can be publicly verified as achieved </w:t>
            </w:r>
            <w:proofErr w:type="gramStart"/>
            <w:r w:rsidRPr="109C29FF">
              <w:rPr>
                <w:rFonts w:ascii="Aptos" w:eastAsia="Aptos" w:hAnsi="Aptos" w:cs="Aptos"/>
                <w:sz w:val="20"/>
                <w:szCs w:val="20"/>
                <w:lang w:val="en-GB"/>
              </w:rPr>
              <w:t>on the basis of</w:t>
            </w:r>
            <w:proofErr w:type="gramEnd"/>
            <w:r w:rsidRPr="109C29FF">
              <w:rPr>
                <w:rFonts w:ascii="Aptos" w:eastAsia="Aptos" w:hAnsi="Aptos" w:cs="Aptos"/>
                <w:sz w:val="20"/>
                <w:szCs w:val="20"/>
                <w:lang w:val="en-GB"/>
              </w:rPr>
              <w:t xml:space="preserve"> adopted secondary legislation and operational evidence.</w:t>
            </w:r>
          </w:p>
        </w:tc>
      </w:tr>
      <w:tr w:rsidR="006A2FCC" w:rsidRPr="0022012C" w14:paraId="6B80DB4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0371546"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0C38090E"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5CC023D8"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2BF36E"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7B269441"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Please provide references wherever possible.</w:t>
            </w:r>
          </w:p>
          <w:p w14:paraId="121284E4"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No information, as Ministry stated that all 3 documents are still in “expected to start” phase.</w:t>
            </w:r>
          </w:p>
        </w:tc>
      </w:tr>
      <w:tr w:rsidR="006A2FCC" w:rsidRPr="0022012C" w14:paraId="154256A9"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969BC7D"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7870E4FE"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Has the final source of verification (as per Reform Agenda) been made publicly available? If yes, please list the source (provide link) and date.</w:t>
            </w:r>
          </w:p>
          <w:p w14:paraId="1E0DDF75" w14:textId="77777777" w:rsidR="006A2FCC" w:rsidRPr="0022012C" w:rsidRDefault="006A2FCC" w:rsidP="009C6824">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No source of verification.</w:t>
            </w:r>
          </w:p>
        </w:tc>
      </w:tr>
      <w:tr w:rsidR="006A2FCC" w:rsidRPr="0022012C" w14:paraId="362A8F38"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D034BFD" w14:textId="77777777" w:rsidR="006A2FCC" w:rsidRPr="0022012C" w:rsidRDefault="006A2FCC"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72870465"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To what extent does the final output of this reform step respect the applicable EU membership requirements/principles/standards? </w:t>
            </w:r>
          </w:p>
          <w:p w14:paraId="40C08E94"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No final output.</w:t>
            </w:r>
          </w:p>
        </w:tc>
      </w:tr>
    </w:tbl>
    <w:p w14:paraId="19C52DD0" w14:textId="77777777" w:rsidR="006A2FCC" w:rsidRPr="0022012C" w:rsidRDefault="006A2FCC" w:rsidP="006A2FCC">
      <w:pPr>
        <w:spacing w:after="0" w:line="240" w:lineRule="auto"/>
        <w:rPr>
          <w:lang w:val="en-GB"/>
        </w:rPr>
      </w:pPr>
    </w:p>
    <w:p w14:paraId="3C7B4F91" w14:textId="77777777" w:rsidR="006A2FCC" w:rsidRPr="008D2080" w:rsidRDefault="006A2FCC" w:rsidP="006A2FCC">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8D2080">
        <w:rPr>
          <w:rFonts w:asciiTheme="majorHAnsi" w:eastAsiaTheme="majorEastAsia" w:hAnsiTheme="majorHAnsi" w:cstheme="majorBidi"/>
          <w:color w:val="0F4761" w:themeColor="accent1" w:themeShade="BF"/>
          <w:sz w:val="40"/>
          <w:szCs w:val="40"/>
          <w:lang w:val="en-GB"/>
        </w:rPr>
        <w:t>Final assessment</w:t>
      </w:r>
    </w:p>
    <w:p w14:paraId="61A840B2" w14:textId="77777777" w:rsidR="006A2FCC" w:rsidRPr="0022012C" w:rsidRDefault="006A2FCC" w:rsidP="006A2FCC">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6A2FCC" w:rsidRPr="0022012C" w14:paraId="46D03EF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EC6D066" w14:textId="322C7E0D" w:rsidR="006A2FCC" w:rsidRPr="0022012C" w:rsidRDefault="006A2FCC" w:rsidP="009C6824">
            <w:pPr>
              <w:spacing w:before="60" w:after="60"/>
              <w:rPr>
                <w:sz w:val="20"/>
                <w:szCs w:val="20"/>
                <w:lang w:val="en-GB"/>
              </w:rPr>
            </w:pPr>
            <w:r w:rsidRPr="0022012C">
              <w:rPr>
                <w:sz w:val="20"/>
                <w:szCs w:val="20"/>
                <w:lang w:val="en-GB"/>
              </w:rPr>
              <w:t>Assess formal achievement</w:t>
            </w:r>
          </w:p>
        </w:tc>
        <w:tc>
          <w:tcPr>
            <w:tcW w:w="6753" w:type="dxa"/>
          </w:tcPr>
          <w:p w14:paraId="7C358376" w14:textId="75EE8E35" w:rsidR="006A2FCC" w:rsidRPr="00805F5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805F5C">
              <w:rPr>
                <w:b/>
                <w:bCs/>
                <w:sz w:val="20"/>
                <w:szCs w:val="20"/>
                <w:lang w:val="en-GB"/>
              </w:rPr>
              <w:t>Not achieved</w:t>
            </w:r>
          </w:p>
          <w:p w14:paraId="2C013EBA"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p>
        </w:tc>
      </w:tr>
      <w:tr w:rsidR="006A2FCC" w:rsidRPr="0022012C" w14:paraId="0BB6463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E0C3198" w14:textId="77777777" w:rsidR="006A2FCC" w:rsidRPr="0022012C" w:rsidRDefault="006A2FCC" w:rsidP="009C6824">
            <w:pPr>
              <w:spacing w:before="60" w:after="60"/>
              <w:rPr>
                <w:sz w:val="20"/>
                <w:szCs w:val="20"/>
                <w:lang w:val="en-GB"/>
              </w:rPr>
            </w:pPr>
            <w:r w:rsidRPr="0022012C">
              <w:rPr>
                <w:sz w:val="20"/>
                <w:szCs w:val="20"/>
                <w:lang w:val="en-GB"/>
              </w:rPr>
              <w:t>Elaboration of final assessment</w:t>
            </w:r>
          </w:p>
        </w:tc>
        <w:tc>
          <w:tcPr>
            <w:tcW w:w="6753" w:type="dxa"/>
          </w:tcPr>
          <w:p w14:paraId="05899F70" w14:textId="77777777" w:rsidR="006A2FCC" w:rsidRPr="0022012C" w:rsidRDefault="006A2FCC" w:rsidP="009C6824">
            <w:pPr>
              <w:spacing w:before="120" w:after="120"/>
              <w:cnfStyle w:val="000000000000" w:firstRow="0" w:lastRow="0" w:firstColumn="0" w:lastColumn="0" w:oddVBand="0" w:evenVBand="0" w:oddHBand="0" w:evenHBand="0" w:firstRowFirstColumn="0" w:firstRowLastColumn="0" w:lastRowFirstColumn="0" w:lastRowLastColumn="0"/>
            </w:pPr>
            <w:r w:rsidRPr="109C29FF">
              <w:rPr>
                <w:rFonts w:ascii="Aptos" w:eastAsia="Aptos" w:hAnsi="Aptos" w:cs="Aptos"/>
                <w:sz w:val="20"/>
                <w:szCs w:val="20"/>
                <w:lang w:val="en-GB"/>
              </w:rPr>
              <w:t xml:space="preserve">Not achieved, because none of the three required outcomes </w:t>
            </w:r>
            <w:r w:rsidRPr="00F53580">
              <w:rPr>
                <w:rFonts w:ascii="Aptos" w:eastAsia="Aptos" w:hAnsi="Aptos" w:cs="Aptos"/>
                <w:sz w:val="20"/>
                <w:szCs w:val="20"/>
              </w:rPr>
              <w:t>(milestones)</w:t>
            </w:r>
            <w:r w:rsidRPr="109C29FF">
              <w:rPr>
                <w:rFonts w:ascii="Aptos" w:eastAsia="Aptos" w:hAnsi="Aptos" w:cs="Aptos"/>
                <w:sz w:val="20"/>
                <w:szCs w:val="20"/>
                <w:lang w:val="en-GB"/>
              </w:rPr>
              <w:t xml:space="preserve"> </w:t>
            </w:r>
            <w:r>
              <w:rPr>
                <w:rFonts w:ascii="Aptos" w:eastAsia="Aptos" w:hAnsi="Aptos" w:cs="Aptos"/>
                <w:sz w:val="20"/>
                <w:szCs w:val="20"/>
                <w:lang w:val="en-GB"/>
              </w:rPr>
              <w:t xml:space="preserve">is </w:t>
            </w:r>
            <w:r w:rsidRPr="109C29FF">
              <w:rPr>
                <w:rFonts w:ascii="Aptos" w:eastAsia="Aptos" w:hAnsi="Aptos" w:cs="Aptos"/>
                <w:sz w:val="20"/>
                <w:szCs w:val="20"/>
                <w:lang w:val="en-GB"/>
              </w:rPr>
              <w:t>in place in a verifiable manner: the list of entities cannot be finalised without the adopted implementing acts for scoping criteria and the Evidence/registry, and both the CVD and crisis-management frameworks depend on secondary legislation and operational instruments that have not been adopted/published. Consequently, there is no public evidence that these frameworks are operational and used, as required by the Reform Agenda.</w:t>
            </w:r>
          </w:p>
        </w:tc>
      </w:tr>
    </w:tbl>
    <w:p w14:paraId="04DA4F2A"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A09B" w14:textId="77777777" w:rsidR="00E83CB4" w:rsidRDefault="00E83CB4" w:rsidP="006A2FCC">
      <w:pPr>
        <w:spacing w:after="0" w:line="240" w:lineRule="auto"/>
      </w:pPr>
      <w:r>
        <w:separator/>
      </w:r>
    </w:p>
  </w:endnote>
  <w:endnote w:type="continuationSeparator" w:id="0">
    <w:p w14:paraId="466C7816" w14:textId="77777777" w:rsidR="00E83CB4" w:rsidRDefault="00E83CB4" w:rsidP="006A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0D9C" w14:textId="77777777" w:rsidR="00E83CB4" w:rsidRDefault="00E83CB4" w:rsidP="006A2FCC">
      <w:pPr>
        <w:spacing w:after="0" w:line="240" w:lineRule="auto"/>
      </w:pPr>
      <w:r>
        <w:separator/>
      </w:r>
    </w:p>
  </w:footnote>
  <w:footnote w:type="continuationSeparator" w:id="0">
    <w:p w14:paraId="38741FF0" w14:textId="77777777" w:rsidR="00E83CB4" w:rsidRDefault="00E83CB4" w:rsidP="006A2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C23C8"/>
    <w:multiLevelType w:val="hybridMultilevel"/>
    <w:tmpl w:val="14B81BB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73B2EB59"/>
    <w:multiLevelType w:val="hybridMultilevel"/>
    <w:tmpl w:val="B76E88B8"/>
    <w:lvl w:ilvl="0" w:tplc="900ECCEC">
      <w:start w:val="1"/>
      <w:numFmt w:val="decimal"/>
      <w:lvlText w:val="%1."/>
      <w:lvlJc w:val="left"/>
      <w:pPr>
        <w:ind w:left="720" w:hanging="360"/>
      </w:pPr>
    </w:lvl>
    <w:lvl w:ilvl="1" w:tplc="1E76E978">
      <w:start w:val="1"/>
      <w:numFmt w:val="lowerLetter"/>
      <w:lvlText w:val="%2."/>
      <w:lvlJc w:val="left"/>
      <w:pPr>
        <w:ind w:left="1440" w:hanging="360"/>
      </w:pPr>
    </w:lvl>
    <w:lvl w:ilvl="2" w:tplc="59BA87C8">
      <w:start w:val="1"/>
      <w:numFmt w:val="lowerRoman"/>
      <w:lvlText w:val="%3."/>
      <w:lvlJc w:val="right"/>
      <w:pPr>
        <w:ind w:left="2160" w:hanging="180"/>
      </w:pPr>
    </w:lvl>
    <w:lvl w:ilvl="3" w:tplc="950EBCF0">
      <w:start w:val="1"/>
      <w:numFmt w:val="decimal"/>
      <w:lvlText w:val="%4."/>
      <w:lvlJc w:val="left"/>
      <w:pPr>
        <w:ind w:left="2880" w:hanging="360"/>
      </w:pPr>
    </w:lvl>
    <w:lvl w:ilvl="4" w:tplc="C84ED40A">
      <w:start w:val="1"/>
      <w:numFmt w:val="lowerLetter"/>
      <w:lvlText w:val="%5."/>
      <w:lvlJc w:val="left"/>
      <w:pPr>
        <w:ind w:left="3600" w:hanging="360"/>
      </w:pPr>
    </w:lvl>
    <w:lvl w:ilvl="5" w:tplc="16367CD6">
      <w:start w:val="1"/>
      <w:numFmt w:val="lowerRoman"/>
      <w:lvlText w:val="%6."/>
      <w:lvlJc w:val="right"/>
      <w:pPr>
        <w:ind w:left="4320" w:hanging="180"/>
      </w:pPr>
    </w:lvl>
    <w:lvl w:ilvl="6" w:tplc="7C38FC84">
      <w:start w:val="1"/>
      <w:numFmt w:val="decimal"/>
      <w:lvlText w:val="%7."/>
      <w:lvlJc w:val="left"/>
      <w:pPr>
        <w:ind w:left="5040" w:hanging="360"/>
      </w:pPr>
    </w:lvl>
    <w:lvl w:ilvl="7" w:tplc="DF0AFE96">
      <w:start w:val="1"/>
      <w:numFmt w:val="lowerLetter"/>
      <w:lvlText w:val="%8."/>
      <w:lvlJc w:val="left"/>
      <w:pPr>
        <w:ind w:left="5760" w:hanging="360"/>
      </w:pPr>
    </w:lvl>
    <w:lvl w:ilvl="8" w:tplc="7FE888CA">
      <w:start w:val="1"/>
      <w:numFmt w:val="lowerRoman"/>
      <w:lvlText w:val="%9."/>
      <w:lvlJc w:val="right"/>
      <w:pPr>
        <w:ind w:left="6480" w:hanging="180"/>
      </w:pPr>
    </w:lvl>
  </w:abstractNum>
  <w:abstractNum w:abstractNumId="2" w15:restartNumberingAfterBreak="0">
    <w:nsid w:val="75DBC572"/>
    <w:multiLevelType w:val="hybridMultilevel"/>
    <w:tmpl w:val="3F062C74"/>
    <w:lvl w:ilvl="0" w:tplc="BE64BB96">
      <w:start w:val="1"/>
      <w:numFmt w:val="decimal"/>
      <w:lvlText w:val="%1."/>
      <w:lvlJc w:val="left"/>
      <w:pPr>
        <w:ind w:left="1080" w:hanging="360"/>
      </w:pPr>
    </w:lvl>
    <w:lvl w:ilvl="1" w:tplc="02C24586">
      <w:start w:val="1"/>
      <w:numFmt w:val="lowerLetter"/>
      <w:lvlText w:val="%2."/>
      <w:lvlJc w:val="left"/>
      <w:pPr>
        <w:ind w:left="1800" w:hanging="360"/>
      </w:pPr>
    </w:lvl>
    <w:lvl w:ilvl="2" w:tplc="B5CA78A4">
      <w:start w:val="1"/>
      <w:numFmt w:val="lowerRoman"/>
      <w:lvlText w:val="%3."/>
      <w:lvlJc w:val="right"/>
      <w:pPr>
        <w:ind w:left="2520" w:hanging="180"/>
      </w:pPr>
    </w:lvl>
    <w:lvl w:ilvl="3" w:tplc="AD6EDC2E">
      <w:start w:val="1"/>
      <w:numFmt w:val="decimal"/>
      <w:lvlText w:val="%4."/>
      <w:lvlJc w:val="left"/>
      <w:pPr>
        <w:ind w:left="3240" w:hanging="360"/>
      </w:pPr>
    </w:lvl>
    <w:lvl w:ilvl="4" w:tplc="86585F9A">
      <w:start w:val="1"/>
      <w:numFmt w:val="lowerLetter"/>
      <w:lvlText w:val="%5."/>
      <w:lvlJc w:val="left"/>
      <w:pPr>
        <w:ind w:left="3960" w:hanging="360"/>
      </w:pPr>
    </w:lvl>
    <w:lvl w:ilvl="5" w:tplc="FE3AA6AA">
      <w:start w:val="1"/>
      <w:numFmt w:val="lowerRoman"/>
      <w:lvlText w:val="%6."/>
      <w:lvlJc w:val="right"/>
      <w:pPr>
        <w:ind w:left="4680" w:hanging="180"/>
      </w:pPr>
    </w:lvl>
    <w:lvl w:ilvl="6" w:tplc="66845D0A">
      <w:start w:val="1"/>
      <w:numFmt w:val="decimal"/>
      <w:lvlText w:val="%7."/>
      <w:lvlJc w:val="left"/>
      <w:pPr>
        <w:ind w:left="5400" w:hanging="360"/>
      </w:pPr>
    </w:lvl>
    <w:lvl w:ilvl="7" w:tplc="AD5C13B6">
      <w:start w:val="1"/>
      <w:numFmt w:val="lowerLetter"/>
      <w:lvlText w:val="%8."/>
      <w:lvlJc w:val="left"/>
      <w:pPr>
        <w:ind w:left="6120" w:hanging="360"/>
      </w:pPr>
    </w:lvl>
    <w:lvl w:ilvl="8" w:tplc="8CBEE45A">
      <w:start w:val="1"/>
      <w:numFmt w:val="lowerRoman"/>
      <w:lvlText w:val="%9."/>
      <w:lvlJc w:val="right"/>
      <w:pPr>
        <w:ind w:left="6840" w:hanging="180"/>
      </w:pPr>
    </w:lvl>
  </w:abstractNum>
  <w:num w:numId="1" w16cid:durableId="708535019">
    <w:abstractNumId w:val="2"/>
  </w:num>
  <w:num w:numId="2" w16cid:durableId="2134057416">
    <w:abstractNumId w:val="1"/>
  </w:num>
  <w:num w:numId="3" w16cid:durableId="2014526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FCC"/>
    <w:rsid w:val="003B6E3A"/>
    <w:rsid w:val="004332F5"/>
    <w:rsid w:val="006A2FCC"/>
    <w:rsid w:val="00805F5C"/>
    <w:rsid w:val="00884CE5"/>
    <w:rsid w:val="00B36266"/>
    <w:rsid w:val="00E76CE8"/>
    <w:rsid w:val="00E83CB4"/>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285DE53B"/>
  <w15:chartTrackingRefBased/>
  <w15:docId w15:val="{5BD37E86-CB9A-F345-8A51-9ECA3BC8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CC"/>
    <w:pPr>
      <w:spacing w:after="160" w:line="278" w:lineRule="auto"/>
    </w:pPr>
    <w:rPr>
      <w:lang w:val="en-US"/>
    </w:rPr>
  </w:style>
  <w:style w:type="paragraph" w:styleId="Heading1">
    <w:name w:val="heading 1"/>
    <w:basedOn w:val="Normal"/>
    <w:next w:val="Normal"/>
    <w:link w:val="Heading1Char"/>
    <w:uiPriority w:val="9"/>
    <w:qFormat/>
    <w:rsid w:val="006A2F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2F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2F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2F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2F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2FC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2FC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2FC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2FC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F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2F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2F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2F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2F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2F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2F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2F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2FCC"/>
    <w:rPr>
      <w:rFonts w:eastAsiaTheme="majorEastAsia" w:cstheme="majorBidi"/>
      <w:color w:val="272727" w:themeColor="text1" w:themeTint="D8"/>
    </w:rPr>
  </w:style>
  <w:style w:type="paragraph" w:styleId="Title">
    <w:name w:val="Title"/>
    <w:basedOn w:val="Normal"/>
    <w:next w:val="Normal"/>
    <w:link w:val="TitleChar"/>
    <w:uiPriority w:val="10"/>
    <w:qFormat/>
    <w:rsid w:val="006A2FC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F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2F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2F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2FCC"/>
    <w:pPr>
      <w:spacing w:before="160"/>
      <w:jc w:val="center"/>
    </w:pPr>
    <w:rPr>
      <w:i/>
      <w:iCs/>
      <w:color w:val="404040" w:themeColor="text1" w:themeTint="BF"/>
    </w:rPr>
  </w:style>
  <w:style w:type="character" w:customStyle="1" w:styleId="QuoteChar">
    <w:name w:val="Quote Char"/>
    <w:basedOn w:val="DefaultParagraphFont"/>
    <w:link w:val="Quote"/>
    <w:uiPriority w:val="29"/>
    <w:rsid w:val="006A2FCC"/>
    <w:rPr>
      <w:i/>
      <w:iCs/>
      <w:color w:val="404040" w:themeColor="text1" w:themeTint="BF"/>
    </w:rPr>
  </w:style>
  <w:style w:type="paragraph" w:styleId="ListParagraph">
    <w:name w:val="List Paragraph"/>
    <w:basedOn w:val="Normal"/>
    <w:uiPriority w:val="34"/>
    <w:qFormat/>
    <w:rsid w:val="006A2FCC"/>
    <w:pPr>
      <w:ind w:left="720"/>
      <w:contextualSpacing/>
    </w:pPr>
  </w:style>
  <w:style w:type="character" w:styleId="IntenseEmphasis">
    <w:name w:val="Intense Emphasis"/>
    <w:basedOn w:val="DefaultParagraphFont"/>
    <w:uiPriority w:val="21"/>
    <w:qFormat/>
    <w:rsid w:val="006A2FCC"/>
    <w:rPr>
      <w:i/>
      <w:iCs/>
      <w:color w:val="0F4761" w:themeColor="accent1" w:themeShade="BF"/>
    </w:rPr>
  </w:style>
  <w:style w:type="paragraph" w:styleId="IntenseQuote">
    <w:name w:val="Intense Quote"/>
    <w:basedOn w:val="Normal"/>
    <w:next w:val="Normal"/>
    <w:link w:val="IntenseQuoteChar"/>
    <w:uiPriority w:val="30"/>
    <w:qFormat/>
    <w:rsid w:val="006A2F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2FCC"/>
    <w:rPr>
      <w:i/>
      <w:iCs/>
      <w:color w:val="0F4761" w:themeColor="accent1" w:themeShade="BF"/>
    </w:rPr>
  </w:style>
  <w:style w:type="character" w:styleId="IntenseReference">
    <w:name w:val="Intense Reference"/>
    <w:basedOn w:val="DefaultParagraphFont"/>
    <w:uiPriority w:val="32"/>
    <w:qFormat/>
    <w:rsid w:val="006A2FCC"/>
    <w:rPr>
      <w:b/>
      <w:bCs/>
      <w:smallCaps/>
      <w:color w:val="0F4761" w:themeColor="accent1" w:themeShade="BF"/>
      <w:spacing w:val="5"/>
    </w:rPr>
  </w:style>
  <w:style w:type="table" w:styleId="GridTable1Light">
    <w:name w:val="Grid Table 1 Light"/>
    <w:basedOn w:val="TableNormal"/>
    <w:uiPriority w:val="46"/>
    <w:rsid w:val="006A2FCC"/>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6A2F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2FCC"/>
    <w:rPr>
      <w:sz w:val="20"/>
      <w:szCs w:val="20"/>
      <w:lang w:val="en-US"/>
    </w:rPr>
  </w:style>
  <w:style w:type="character" w:styleId="FootnoteReference">
    <w:name w:val="footnote reference"/>
    <w:basedOn w:val="DefaultParagraphFont"/>
    <w:uiPriority w:val="99"/>
    <w:semiHidden/>
    <w:unhideWhenUsed/>
    <w:rsid w:val="006A2FCC"/>
    <w:rPr>
      <w:vertAlign w:val="superscript"/>
    </w:rPr>
  </w:style>
  <w:style w:type="character" w:styleId="CommentReference">
    <w:name w:val="annotation reference"/>
    <w:basedOn w:val="DefaultParagraphFont"/>
    <w:uiPriority w:val="99"/>
    <w:semiHidden/>
    <w:unhideWhenUsed/>
    <w:rsid w:val="006A2FCC"/>
    <w:rPr>
      <w:sz w:val="16"/>
      <w:szCs w:val="16"/>
    </w:rPr>
  </w:style>
  <w:style w:type="character" w:styleId="Hyperlink">
    <w:name w:val="Hyperlink"/>
    <w:basedOn w:val="DefaultParagraphFont"/>
    <w:uiPriority w:val="99"/>
    <w:unhideWhenUsed/>
    <w:rsid w:val="006A2FCC"/>
    <w:rPr>
      <w:color w:val="467886"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i.partners-serbia.org/wp-content/uploads/prilog_311/Odgovor%20MIT.pdf" TargetMode="External"/><Relationship Id="rId3" Type="http://schemas.openxmlformats.org/officeDocument/2006/relationships/settings" Target="settings.xml"/><Relationship Id="rId7" Type="http://schemas.openxmlformats.org/officeDocument/2006/relationships/hyperlink" Target="https://foi.partners-serbia.org/wp-content/uploads/prilog_311/Odgovor%20MI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i.partners-serbia.org/wp-content/uploads/prilog_311/Odgovor%20MI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1053</Words>
  <Characters>6205</Characters>
  <Application>Microsoft Office Word</Application>
  <DocSecurity>0</DocSecurity>
  <Lines>155</Lines>
  <Paragraphs>64</Paragraphs>
  <ScaleCrop>false</ScaleCrop>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cp:revision>
  <dcterms:created xsi:type="dcterms:W3CDTF">2026-04-20T10:18:00Z</dcterms:created>
  <dcterms:modified xsi:type="dcterms:W3CDTF">2026-04-24T18:41:00Z</dcterms:modified>
</cp:coreProperties>
</file>